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B58F3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3"/>
        <w:rPr>
          <w:rFonts w:hint="default" w:ascii="Times New Roman" w:hAnsi="Times New Roman" w:eastAsia="宋体" w:cs="Times New Roman"/>
          <w:b/>
          <w:bCs/>
          <w:color w:val="FF0000"/>
          <w:kern w:val="2"/>
          <w:sz w:val="28"/>
          <w:szCs w:val="28"/>
          <w:highlight w:val="green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尿的形成与排出</w:t>
      </w:r>
    </w:p>
    <w:p w14:paraId="45BFEC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3"/>
        <w:rPr>
          <w:rFonts w:hint="eastAsia" w:cs="Times New Roman"/>
          <w:b/>
          <w:bCs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cs="Times New Roman"/>
          <w:b/>
          <w:bCs/>
          <w:color w:val="auto"/>
          <w:kern w:val="2"/>
          <w:sz w:val="24"/>
          <w:szCs w:val="24"/>
          <w:highlight w:val="none"/>
          <w:lang w:val="en-US" w:eastAsia="zh-CN"/>
        </w:rPr>
        <w:t>第2课时  尿的形成与排出</w:t>
      </w:r>
    </w:p>
    <w:p w14:paraId="1D208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1437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E1D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F193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尿的形成与排出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F24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7FB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254A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83C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084CE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480" w:firstLineChars="20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</w:pPr>
            <w:r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  <w:t>七年级学生对排尿有直观体验，但对其背后复杂的生理过程认知模糊。他们已积累一定生物学知识，具备简单实验操作技能，不过抽象思维仍在发展，理解肾单位的微观结构、尿液形成的复杂机制存在困难。在科学探究时，部分学生难以独立设计实验方案，需教师引导启发，借助直观教具辅助学习。</w:t>
            </w:r>
          </w:p>
        </w:tc>
      </w:tr>
      <w:tr w14:paraId="0E2B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062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E7F255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1200" w:leftChars="0" w:hanging="1200" w:hangingChars="500"/>
              <w:textAlignment w:val="auto"/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  <w:t>生命观念：①理解肾单位与尿的形成相关的结构特点</w:t>
            </w:r>
          </w:p>
          <w:p w14:paraId="259099D6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200" w:firstLineChars="50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  <w:t>②能描述尿液的形成过程。</w:t>
            </w:r>
          </w:p>
        </w:tc>
      </w:tr>
      <w:tr w14:paraId="69696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4462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9FFE123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1200" w:leftChars="0" w:hanging="1200" w:hangingChars="50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  <w:t>科学思维：通过小组讨论交流,培养学生的语言表达能力、研究性学习的能力及合作精神。</w:t>
            </w:r>
          </w:p>
        </w:tc>
      </w:tr>
      <w:tr w14:paraId="65FDC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D1E3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6A8FDD4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1200" w:leftChars="0" w:hanging="1200" w:hangingChars="50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  <w:t>探究实践：在血浆、原尿、尿液三者成分中,学习用比较法对肾单位血液流动特点进行分析、归纳的方法。推测尿液形成的大致过程,发展表达、交流能力和思维能力。</w:t>
            </w:r>
          </w:p>
        </w:tc>
      </w:tr>
      <w:tr w14:paraId="59A6B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2E981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2539B9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1200" w:leftChars="0" w:hanging="1200" w:hangingChars="50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  <w:t>态度责任：养成良好的泌尿卫生习惯。</w:t>
            </w:r>
          </w:p>
        </w:tc>
      </w:tr>
      <w:tr w14:paraId="062A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82E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7913B">
            <w:pPr>
              <w:spacing w:line="360" w:lineRule="auto"/>
              <w:jc w:val="left"/>
              <w:rPr>
                <w:rStyle w:val="11"/>
                <w:rFonts w:hint="eastAsia" w:ascii="宋体" w:hAnsi="宋体" w:cs="宋体"/>
                <w:sz w:val="24"/>
                <w:szCs w:val="24"/>
              </w:rPr>
            </w:pPr>
            <w:r>
              <w:rPr>
                <w:rStyle w:val="11"/>
                <w:rFonts w:hint="eastAsia" w:ascii="宋体" w:hAnsi="宋体" w:cs="宋体"/>
                <w:sz w:val="24"/>
                <w:szCs w:val="24"/>
              </w:rPr>
              <w:t>肾单位的结构与功能相适应的特点。</w:t>
            </w:r>
          </w:p>
          <w:p w14:paraId="5BA778DC"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4"/>
                <w:szCs w:val="24"/>
              </w:rPr>
              <w:t>尿的形成和排出过程。</w:t>
            </w:r>
          </w:p>
        </w:tc>
      </w:tr>
      <w:tr w14:paraId="67EC8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F476D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B710B"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4"/>
                <w:szCs w:val="24"/>
              </w:rPr>
              <w:t>尿的形成过程。</w:t>
            </w:r>
          </w:p>
        </w:tc>
      </w:tr>
    </w:tbl>
    <w:p w14:paraId="34719339">
      <w:pPr>
        <w:pStyle w:val="10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5152"/>
        <w:gridCol w:w="3194"/>
      </w:tblGrid>
      <w:tr w14:paraId="728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0429B7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152" w:type="dxa"/>
          </w:tcPr>
          <w:p w14:paraId="4F702E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3194" w:type="dxa"/>
          </w:tcPr>
          <w:p w14:paraId="1DA8DF1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AE6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5E43D0F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1CEEF3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2EB8D16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4A6982D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1DD4EA9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63F970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3E7759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5152" w:type="dxa"/>
          </w:tcPr>
          <w:p w14:paraId="2E21A85C">
            <w:pPr>
              <w:spacing w:line="360" w:lineRule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【</w:t>
            </w:r>
            <w:r>
              <w:rPr>
                <w:b/>
                <w:bCs/>
                <w:szCs w:val="21"/>
              </w:rPr>
              <w:t>创设情境，导入新课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】某人近来感到身体不适，到医院检查。医生为他开了一张化验单，要他检查尿液。</w:t>
            </w:r>
          </w:p>
          <w:tbl>
            <w:tblPr>
              <w:tblStyle w:val="8"/>
              <w:tblpPr w:leftFromText="180" w:rightFromText="180" w:vertAnchor="text" w:horzAnchor="page" w:tblpX="230" w:tblpY="318"/>
              <w:tblOverlap w:val="never"/>
              <w:tblW w:w="471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4"/>
              <w:gridCol w:w="674"/>
              <w:gridCol w:w="674"/>
              <w:gridCol w:w="674"/>
              <w:gridCol w:w="674"/>
              <w:gridCol w:w="674"/>
              <w:gridCol w:w="675"/>
            </w:tblGrid>
            <w:tr w14:paraId="0282B09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74" w:type="dxa"/>
                </w:tcPr>
                <w:p w14:paraId="71A1F793">
                  <w:pPr>
                    <w:spacing w:line="360" w:lineRule="auto"/>
                    <w:rPr>
                      <w:rFonts w:hint="eastAsia" w:ascii="宋体" w:hAnsi="宋体" w:eastAsia="宋体" w:cs="宋体"/>
                      <w:sz w:val="15"/>
                      <w:szCs w:val="15"/>
                      <w:vertAlign w:val="baseline"/>
                    </w:rPr>
                  </w:pPr>
                </w:p>
              </w:tc>
              <w:tc>
                <w:tcPr>
                  <w:tcW w:w="674" w:type="dxa"/>
                </w:tcPr>
                <w:p w14:paraId="6E1DF02A">
                  <w:pPr>
                    <w:spacing w:line="360" w:lineRule="auto"/>
                    <w:rPr>
                      <w:rFonts w:hint="eastAsia" w:ascii="宋体" w:hAnsi="宋体" w:eastAsia="宋体" w:cs="宋体"/>
                      <w:sz w:val="15"/>
                      <w:szCs w:val="15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5"/>
                      <w:szCs w:val="15"/>
                      <w:vertAlign w:val="baseline"/>
                      <w:lang w:val="en-US" w:eastAsia="zh-CN"/>
                    </w:rPr>
                    <w:t>红细胞</w:t>
                  </w:r>
                </w:p>
              </w:tc>
              <w:tc>
                <w:tcPr>
                  <w:tcW w:w="674" w:type="dxa"/>
                </w:tcPr>
                <w:p w14:paraId="100C2E5D">
                  <w:pPr>
                    <w:spacing w:line="360" w:lineRule="auto"/>
                    <w:rPr>
                      <w:rFonts w:hint="default" w:ascii="宋体" w:hAnsi="宋体" w:eastAsia="宋体" w:cs="宋体"/>
                      <w:sz w:val="15"/>
                      <w:szCs w:val="15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5"/>
                      <w:szCs w:val="15"/>
                      <w:vertAlign w:val="baseline"/>
                      <w:lang w:val="en-US" w:eastAsia="zh-CN"/>
                    </w:rPr>
                    <w:t>蛋白质</w:t>
                  </w:r>
                </w:p>
              </w:tc>
              <w:tc>
                <w:tcPr>
                  <w:tcW w:w="674" w:type="dxa"/>
                </w:tcPr>
                <w:p w14:paraId="201B471C">
                  <w:pPr>
                    <w:spacing w:line="360" w:lineRule="auto"/>
                    <w:rPr>
                      <w:rFonts w:hint="eastAsia" w:ascii="宋体" w:hAnsi="宋体" w:eastAsia="宋体" w:cs="宋体"/>
                      <w:sz w:val="15"/>
                      <w:szCs w:val="15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5"/>
                      <w:szCs w:val="15"/>
                      <w:vertAlign w:val="baseline"/>
                      <w:lang w:val="en-US" w:eastAsia="zh-CN"/>
                    </w:rPr>
                    <w:t>葡萄糖</w:t>
                  </w:r>
                </w:p>
              </w:tc>
              <w:tc>
                <w:tcPr>
                  <w:tcW w:w="674" w:type="dxa"/>
                </w:tcPr>
                <w:p w14:paraId="0A6FDC4C">
                  <w:pPr>
                    <w:spacing w:line="360" w:lineRule="auto"/>
                    <w:rPr>
                      <w:rFonts w:hint="eastAsia" w:ascii="宋体" w:hAnsi="宋体" w:eastAsia="宋体" w:cs="宋体"/>
                      <w:sz w:val="15"/>
                      <w:szCs w:val="15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5"/>
                      <w:szCs w:val="15"/>
                      <w:vertAlign w:val="baseline"/>
                      <w:lang w:val="en-US" w:eastAsia="zh-CN"/>
                    </w:rPr>
                    <w:t>尿素</w:t>
                  </w:r>
                </w:p>
              </w:tc>
              <w:tc>
                <w:tcPr>
                  <w:tcW w:w="674" w:type="dxa"/>
                </w:tcPr>
                <w:p w14:paraId="3F1E42AF">
                  <w:pPr>
                    <w:spacing w:line="360" w:lineRule="auto"/>
                    <w:rPr>
                      <w:rFonts w:hint="eastAsia" w:ascii="宋体" w:hAnsi="宋体" w:eastAsia="宋体" w:cs="宋体"/>
                      <w:sz w:val="15"/>
                      <w:szCs w:val="15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5"/>
                      <w:szCs w:val="15"/>
                      <w:vertAlign w:val="baseline"/>
                      <w:lang w:val="en-US" w:eastAsia="zh-CN"/>
                    </w:rPr>
                    <w:t>尿酸</w:t>
                  </w:r>
                </w:p>
              </w:tc>
              <w:tc>
                <w:tcPr>
                  <w:tcW w:w="675" w:type="dxa"/>
                </w:tcPr>
                <w:p w14:paraId="34B9C9B9">
                  <w:pPr>
                    <w:spacing w:line="360" w:lineRule="auto"/>
                    <w:rPr>
                      <w:rFonts w:hint="eastAsia" w:ascii="宋体" w:hAnsi="宋体" w:eastAsia="宋体" w:cs="宋体"/>
                      <w:sz w:val="15"/>
                      <w:szCs w:val="15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5"/>
                      <w:szCs w:val="15"/>
                      <w:vertAlign w:val="baseline"/>
                      <w:lang w:val="en-US" w:eastAsia="zh-CN"/>
                    </w:rPr>
                    <w:t>无机盐</w:t>
                  </w:r>
                </w:p>
              </w:tc>
            </w:tr>
            <w:tr w14:paraId="375D10D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74" w:type="dxa"/>
                </w:tcPr>
                <w:p w14:paraId="415AE50A">
                  <w:pPr>
                    <w:spacing w:line="360" w:lineRule="auto"/>
                    <w:rPr>
                      <w:rFonts w:hint="eastAsia" w:ascii="宋体" w:hAnsi="宋体" w:eastAsia="宋体" w:cs="宋体"/>
                      <w:sz w:val="15"/>
                      <w:szCs w:val="15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5"/>
                      <w:szCs w:val="15"/>
                      <w:vertAlign w:val="baseline"/>
                      <w:lang w:val="en-US" w:eastAsia="zh-CN"/>
                    </w:rPr>
                    <w:t>患者</w:t>
                  </w:r>
                </w:p>
              </w:tc>
              <w:tc>
                <w:tcPr>
                  <w:tcW w:w="674" w:type="dxa"/>
                </w:tcPr>
                <w:p w14:paraId="6223C041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sz w:val="15"/>
                      <w:szCs w:val="15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5"/>
                      <w:szCs w:val="15"/>
                      <w:vertAlign w:val="baseline"/>
                      <w:lang w:val="en-US" w:eastAsia="zh-CN"/>
                    </w:rPr>
                    <w:t>+</w:t>
                  </w:r>
                </w:p>
              </w:tc>
              <w:tc>
                <w:tcPr>
                  <w:tcW w:w="674" w:type="dxa"/>
                </w:tcPr>
                <w:p w14:paraId="09CF1CD1">
                  <w:pPr>
                    <w:spacing w:line="360" w:lineRule="auto"/>
                    <w:jc w:val="center"/>
                    <w:rPr>
                      <w:rFonts w:hint="default" w:ascii="宋体" w:hAnsi="宋体" w:eastAsia="宋体" w:cs="宋体"/>
                      <w:sz w:val="15"/>
                      <w:szCs w:val="15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5"/>
                      <w:szCs w:val="15"/>
                      <w:vertAlign w:val="baseline"/>
                      <w:lang w:val="en-US" w:eastAsia="zh-CN"/>
                    </w:rPr>
                    <w:t>30.0</w:t>
                  </w:r>
                </w:p>
              </w:tc>
              <w:tc>
                <w:tcPr>
                  <w:tcW w:w="674" w:type="dxa"/>
                </w:tcPr>
                <w:p w14:paraId="1C17A64C">
                  <w:pPr>
                    <w:spacing w:line="360" w:lineRule="auto"/>
                    <w:jc w:val="center"/>
                    <w:rPr>
                      <w:rFonts w:hint="default" w:ascii="宋体" w:hAnsi="宋体" w:eastAsia="宋体" w:cs="宋体"/>
                      <w:sz w:val="15"/>
                      <w:szCs w:val="15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5"/>
                      <w:szCs w:val="15"/>
                      <w:vertAlign w:val="baseline"/>
                      <w:lang w:val="en-US" w:eastAsia="zh-CN"/>
                    </w:rPr>
                    <w:t>1.0</w:t>
                  </w:r>
                </w:p>
              </w:tc>
              <w:tc>
                <w:tcPr>
                  <w:tcW w:w="674" w:type="dxa"/>
                </w:tcPr>
                <w:p w14:paraId="14FDD140">
                  <w:pPr>
                    <w:spacing w:line="360" w:lineRule="auto"/>
                    <w:jc w:val="center"/>
                    <w:rPr>
                      <w:rFonts w:hint="default" w:ascii="宋体" w:hAnsi="宋体" w:eastAsia="宋体" w:cs="宋体"/>
                      <w:sz w:val="15"/>
                      <w:szCs w:val="15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5"/>
                      <w:szCs w:val="15"/>
                      <w:vertAlign w:val="baseline"/>
                      <w:lang w:val="en-US" w:eastAsia="zh-CN"/>
                    </w:rPr>
                    <w:t>20.0</w:t>
                  </w:r>
                </w:p>
              </w:tc>
              <w:tc>
                <w:tcPr>
                  <w:tcW w:w="674" w:type="dxa"/>
                </w:tcPr>
                <w:p w14:paraId="2C53A24D">
                  <w:pPr>
                    <w:spacing w:line="360" w:lineRule="auto"/>
                    <w:jc w:val="center"/>
                    <w:rPr>
                      <w:rFonts w:hint="default" w:ascii="宋体" w:hAnsi="宋体" w:eastAsia="宋体" w:cs="宋体"/>
                      <w:sz w:val="15"/>
                      <w:szCs w:val="15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5"/>
                      <w:szCs w:val="15"/>
                      <w:vertAlign w:val="baseline"/>
                      <w:lang w:val="en-US" w:eastAsia="zh-CN"/>
                    </w:rPr>
                    <w:t>0.5</w:t>
                  </w:r>
                </w:p>
              </w:tc>
              <w:tc>
                <w:tcPr>
                  <w:tcW w:w="675" w:type="dxa"/>
                </w:tcPr>
                <w:p w14:paraId="1312A1F3">
                  <w:pPr>
                    <w:spacing w:line="360" w:lineRule="auto"/>
                    <w:jc w:val="center"/>
                    <w:rPr>
                      <w:rFonts w:hint="default" w:ascii="宋体" w:hAnsi="宋体" w:eastAsia="宋体" w:cs="宋体"/>
                      <w:sz w:val="15"/>
                      <w:szCs w:val="15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5"/>
                      <w:szCs w:val="15"/>
                      <w:vertAlign w:val="baseline"/>
                      <w:lang w:val="en-US" w:eastAsia="zh-CN"/>
                    </w:rPr>
                    <w:t>11.0</w:t>
                  </w:r>
                </w:p>
              </w:tc>
            </w:tr>
            <w:tr w14:paraId="14E5DD3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74" w:type="dxa"/>
                </w:tcPr>
                <w:p w14:paraId="63E457EF">
                  <w:pPr>
                    <w:spacing w:line="360" w:lineRule="auto"/>
                    <w:rPr>
                      <w:rFonts w:hint="eastAsia" w:ascii="宋体" w:hAnsi="宋体" w:eastAsia="宋体" w:cs="宋体"/>
                      <w:sz w:val="15"/>
                      <w:szCs w:val="15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5"/>
                      <w:szCs w:val="15"/>
                      <w:vertAlign w:val="baseline"/>
                      <w:lang w:val="en-US" w:eastAsia="zh-CN"/>
                    </w:rPr>
                    <w:t>正常值</w:t>
                  </w:r>
                </w:p>
              </w:tc>
              <w:tc>
                <w:tcPr>
                  <w:tcW w:w="674" w:type="dxa"/>
                </w:tcPr>
                <w:p w14:paraId="48226B89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sz w:val="15"/>
                      <w:szCs w:val="15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5"/>
                      <w:szCs w:val="15"/>
                      <w:vertAlign w:val="baseline"/>
                      <w:lang w:eastAsia="zh-CN"/>
                    </w:rPr>
                    <w:t>—</w:t>
                  </w:r>
                </w:p>
              </w:tc>
              <w:tc>
                <w:tcPr>
                  <w:tcW w:w="674" w:type="dxa"/>
                </w:tcPr>
                <w:p w14:paraId="511AABC3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sz w:val="15"/>
                      <w:szCs w:val="15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5"/>
                      <w:szCs w:val="15"/>
                      <w:vertAlign w:val="baseline"/>
                      <w:lang w:val="en-US" w:eastAsia="zh-CN"/>
                    </w:rPr>
                    <w:t>0</w:t>
                  </w:r>
                </w:p>
              </w:tc>
              <w:tc>
                <w:tcPr>
                  <w:tcW w:w="674" w:type="dxa"/>
                </w:tcPr>
                <w:p w14:paraId="27FEA3C0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sz w:val="15"/>
                      <w:szCs w:val="15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5"/>
                      <w:szCs w:val="15"/>
                      <w:vertAlign w:val="baseline"/>
                      <w:lang w:val="en-US" w:eastAsia="zh-CN"/>
                    </w:rPr>
                    <w:t>0</w:t>
                  </w:r>
                </w:p>
              </w:tc>
              <w:tc>
                <w:tcPr>
                  <w:tcW w:w="674" w:type="dxa"/>
                </w:tcPr>
                <w:p w14:paraId="65C40DE7">
                  <w:pPr>
                    <w:spacing w:line="360" w:lineRule="auto"/>
                    <w:jc w:val="center"/>
                    <w:rPr>
                      <w:rFonts w:hint="default" w:ascii="宋体" w:hAnsi="宋体" w:eastAsia="宋体" w:cs="宋体"/>
                      <w:sz w:val="15"/>
                      <w:szCs w:val="15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5"/>
                      <w:szCs w:val="15"/>
                      <w:vertAlign w:val="baseline"/>
                      <w:lang w:val="en-US" w:eastAsia="zh-CN"/>
                    </w:rPr>
                    <w:t>20.0</w:t>
                  </w:r>
                </w:p>
              </w:tc>
              <w:tc>
                <w:tcPr>
                  <w:tcW w:w="674" w:type="dxa"/>
                </w:tcPr>
                <w:p w14:paraId="35AD063C">
                  <w:pPr>
                    <w:spacing w:line="360" w:lineRule="auto"/>
                    <w:jc w:val="center"/>
                    <w:rPr>
                      <w:rFonts w:hint="default" w:ascii="宋体" w:hAnsi="宋体" w:eastAsia="宋体" w:cs="宋体"/>
                      <w:sz w:val="15"/>
                      <w:szCs w:val="15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5"/>
                      <w:szCs w:val="15"/>
                      <w:vertAlign w:val="baseline"/>
                      <w:lang w:val="en-US" w:eastAsia="zh-CN"/>
                    </w:rPr>
                    <w:t>0.5</w:t>
                  </w:r>
                </w:p>
              </w:tc>
              <w:tc>
                <w:tcPr>
                  <w:tcW w:w="675" w:type="dxa"/>
                </w:tcPr>
                <w:p w14:paraId="0283FBED">
                  <w:pPr>
                    <w:spacing w:line="360" w:lineRule="auto"/>
                    <w:jc w:val="center"/>
                    <w:rPr>
                      <w:rFonts w:hint="default" w:ascii="宋体" w:hAnsi="宋体" w:eastAsia="宋体" w:cs="宋体"/>
                      <w:sz w:val="15"/>
                      <w:szCs w:val="15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15"/>
                      <w:szCs w:val="15"/>
                      <w:vertAlign w:val="baseline"/>
                      <w:lang w:val="en-US" w:eastAsia="zh-CN"/>
                    </w:rPr>
                    <w:t>11.0</w:t>
                  </w:r>
                </w:p>
              </w:tc>
            </w:tr>
          </w:tbl>
          <w:p w14:paraId="66FEE301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提问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与正常人比较，这个人尿液中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出现了红细胞、蛋白质和葡萄糖。可能的原因是什么？</w:t>
            </w:r>
          </w:p>
        </w:tc>
        <w:tc>
          <w:tcPr>
            <w:tcW w:w="3194" w:type="dxa"/>
          </w:tcPr>
          <w:p w14:paraId="423284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709B8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0A5871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1ECE4D49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思考、分析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】</w:t>
            </w:r>
          </w:p>
          <w:p w14:paraId="48CB8C6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引起兴趣。</w:t>
            </w:r>
          </w:p>
        </w:tc>
      </w:tr>
      <w:tr w14:paraId="3CAC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9" w:hRule="atLeast"/>
        </w:trPr>
        <w:tc>
          <w:tcPr>
            <w:tcW w:w="1082" w:type="dxa"/>
          </w:tcPr>
          <w:p w14:paraId="04AA9CE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5DC9A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09164A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A62F1B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72827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ECB1B7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99CE08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BECDB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A8AB52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DE3292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E07E60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F3828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5A0332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549E65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A50EAB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38EBF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C8FC0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56A915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5152" w:type="dxa"/>
          </w:tcPr>
          <w:p w14:paraId="18D46FA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活动一   尿液的形成</w:t>
            </w:r>
          </w:p>
          <w:p w14:paraId="17D256E3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血液在肾脏中的流动</w:t>
            </w:r>
          </w:p>
          <w:p w14:paraId="3F5C8701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提问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血液在每个肾单位中的流动方向是怎样的？</w:t>
            </w:r>
          </w:p>
          <w:p w14:paraId="28E4C745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讲述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肾小动脉——入球小动脉——肾小球毛细血管——出球小动脉——肾小管外毛细血管——肾小静脉。</w:t>
            </w:r>
          </w:p>
          <w:p w14:paraId="1581AD33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提问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血液流过肾脏，中间经历了哪些过程？</w:t>
            </w:r>
          </w:p>
          <w:p w14:paraId="4A9110F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推测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推测尿液应该来自血液；血液流经两处毛细血管处会发生物质交换，血液与肾小囊腔内的液体交换，肾小管内的液体通过肾小管上皮细胞与其外部的毛细血管网交换。</w:t>
            </w:r>
          </w:p>
          <w:p w14:paraId="15C411CC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提问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如何设计方案验证我们的推测？</w:t>
            </w:r>
          </w:p>
          <w:p w14:paraId="038F2AE8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讨论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达成共识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取动脉中的血浆，肾小囊中的液体以及肾小管中的液体进行成分上的比对分析。</w:t>
            </w:r>
          </w:p>
          <w:p w14:paraId="0EE8D97C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呈现资料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早在100多年前，科学家就取出了肾小囊中的液体与动脉中的血浆成分、尿液进行了比对分析，有了新的发现。</w:t>
            </w:r>
          </w:p>
          <w:p w14:paraId="34B67E0F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讨论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比较肾动脉中血浆、肾小囊中液体和尿液的主要成分，并进行分析和讨论。</w:t>
            </w:r>
          </w:p>
          <w:p w14:paraId="674564CB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肾小球的滤过作用</w:t>
            </w:r>
          </w:p>
          <w:p w14:paraId="7B1553A8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提问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血浆和肾小囊中的液体（原尿）的主要成分有什么异同？（与血浆相比，原尿中不含大分子蛋白质，其他成分相似。）推测肾小球和肾小囊壁的作用有什么特点？</w:t>
            </w:r>
          </w:p>
          <w:p w14:paraId="1BA05208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动画演示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血液流经肾小球时发生的变化，引导学生推测肾小球和肾小囊壁的特点。</w:t>
            </w:r>
          </w:p>
          <w:p w14:paraId="6A2511DE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出示图片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肾小球和肾小囊壁的特点。</w:t>
            </w:r>
          </w:p>
          <w:p w14:paraId="4B51C680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讲述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人体的代谢废物由血液运输到肾脏。当血液流经肾小球时，除血细胞和大分子蛋白质外，血浆中的一部分水、无机盐、葡萄糖和尿素等物质由肾小球滤过到肾小囊腔中形成原尿。与血液相比，原尿不含血细胞和大分子蛋白质，其他成分两者相似。</w:t>
            </w:r>
          </w:p>
          <w:p w14:paraId="57606117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肾小管的重吸收作用</w:t>
            </w:r>
          </w:p>
          <w:p w14:paraId="490C2239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提问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一个健康成年人每天形成150 L的原尿，最终排出1.5 L的尿液，你能推测原因吗？</w:t>
            </w:r>
          </w:p>
          <w:p w14:paraId="774AAE68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提问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原尿流经肾小管时，物质在肾小管和肾小管外的毛细血管网之间发生了什么变化？</w:t>
            </w:r>
          </w:p>
          <w:p w14:paraId="347B2469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出示资料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分析原尿和尿液的成分与含量。</w:t>
            </w:r>
          </w:p>
          <w:p w14:paraId="633ECFEC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讨论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比较原尿和尿液成分的差异，原尿中是否存在人体需要的物质，都有什么？</w:t>
            </w:r>
          </w:p>
          <w:p w14:paraId="601852CA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（葡萄糖、蛋白质、水、无机盐等物质）推测原尿在经过肾小管时发生了什么变化？</w:t>
            </w:r>
          </w:p>
          <w:p w14:paraId="69C2A74D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讲述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当原尿流经肾小管时，其中对人体有用的物质，如大部分水、全部葡萄糖、部分无机盐等被肾小管重新吸收进入毛细血管中。剩下的物质由肾小管流出形成尿液，最后流向肾盂。</w:t>
            </w:r>
          </w:p>
          <w:p w14:paraId="6F5D053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知识反馈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分析此前的尿液化验单，患者肾脏哪个部分可能出现了病变？你有什么建议吗？</w:t>
            </w:r>
          </w:p>
          <w:p w14:paraId="5D04A13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活动二  尿液的排出</w:t>
            </w:r>
          </w:p>
          <w:p w14:paraId="6BE5CEA8">
            <w:p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提问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尿液的排出途径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是什么呢？</w:t>
            </w:r>
          </w:p>
          <w:p w14:paraId="3E431DF3">
            <w:pPr>
              <w:spacing w:line="360" w:lineRule="auto"/>
              <w:ind w:firstLine="42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肾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单位形成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的尿液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由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肾盂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流经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输尿管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进入膀胱，在膀胱暂时贮存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当膀胱尿液达到一定量时，会产生尿意，在神经系统的支配下，尿液经尿道排到体外。</w:t>
            </w:r>
          </w:p>
          <w:p w14:paraId="366A0650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思考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膀胱在尿液形成与排出过程中具有什么功能？</w:t>
            </w:r>
          </w:p>
          <w:p w14:paraId="6E41DC28">
            <w:pPr>
              <w:spacing w:line="360" w:lineRule="auto"/>
              <w:jc w:val="left"/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活动三   适量饮水和适时排尿有利健康</w:t>
            </w:r>
          </w:p>
          <w:p w14:paraId="3991C7F1">
            <w:pPr>
              <w:spacing w:line="360" w:lineRule="auto"/>
              <w:jc w:val="left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提问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】人为什么要每天喝水？</w:t>
            </w:r>
          </w:p>
          <w:p w14:paraId="35D94215">
            <w:pPr>
              <w:spacing w:line="360" w:lineRule="auto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讲述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】人体每天摄取的水量和排出的水量是相对平衡的，水摄取的多，排出的也就多。人体的代谢废物(如尿素、无机盐等)只有溶在水中才能排到体外。一个成人一昼夜至少排尿500mL，才能将体内代谢废物排出。排尿若少于500mL，会造成代谢废物在体内积累，危害身体健康。因此，我们每天必须饮用适量的水，使代谢废物排出体外。</w:t>
            </w:r>
          </w:p>
          <w:p w14:paraId="58BD5EEF">
            <w:pPr>
              <w:spacing w:line="360" w:lineRule="auto"/>
              <w:jc w:val="left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提问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】人为什么要及时排尿？</w:t>
            </w:r>
          </w:p>
          <w:p w14:paraId="0AD5C6E1">
            <w:pPr>
              <w:spacing w:line="360" w:lineRule="auto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讲述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】尿液的形成是连续的，尿液的排出是间歇的。如果尿液太多，膀胱过度膨胀，会影响膀胱的正常功能。所以，必须及时排尿。</w:t>
            </w:r>
          </w:p>
          <w:p w14:paraId="56FB5322">
            <w:pPr>
              <w:spacing w:line="360" w:lineRule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拓展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】女性尿道比较短，长度为2~5cm。尿道外口附近有阴道和肛门等器官，容易感染病菌，引起泌尿系统疾病。因此，女性要特别注意尿道外口的清洁卫生。</w:t>
            </w:r>
          </w:p>
        </w:tc>
        <w:tc>
          <w:tcPr>
            <w:tcW w:w="3194" w:type="dxa"/>
          </w:tcPr>
          <w:p w14:paraId="6E914CC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4B6D379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64F4D34E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回忆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】</w:t>
            </w:r>
          </w:p>
          <w:p w14:paraId="6756A67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280F74DF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思考、推理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】</w:t>
            </w:r>
          </w:p>
          <w:p w14:paraId="637D818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00E3148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6EBBCD4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ABCCEF1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讨论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】</w:t>
            </w:r>
          </w:p>
          <w:p w14:paraId="76CF98F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496E17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AFDBF1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3996BD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DBBFED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8C7602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FDA963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E818172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分析、思考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】</w:t>
            </w:r>
          </w:p>
          <w:p w14:paraId="7BA22C0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7655FF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  </w:t>
            </w:r>
          </w:p>
          <w:p w14:paraId="392D6E2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57E3F45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36FFABA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2850E25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01CDF17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4A43995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454F1B7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01E3B207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思考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】</w:t>
            </w:r>
          </w:p>
          <w:p w14:paraId="126CE7F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067AE9B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7432156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4EC0232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167ECE3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6A8F9BC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4029353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结合图片分析，建立结构与功能相适应的观点。</w:t>
            </w:r>
          </w:p>
          <w:p w14:paraId="259B491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4F3A719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30B5EDB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00F45F9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5A0BA5B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5DCA2B5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0854C50D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思考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】</w:t>
            </w:r>
          </w:p>
          <w:p w14:paraId="6E35673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3B04FD3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57CCAC7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692A1E47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思考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】</w:t>
            </w:r>
          </w:p>
          <w:p w14:paraId="15B2007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55C2C98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13DDD363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7815070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回答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】</w:t>
            </w:r>
          </w:p>
          <w:p w14:paraId="7AE0D3BC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肾小管外的毛细血管将全部葡萄糖、蛋白质，99%的水，部分无机盐进行了重吸收。——注意重吸收的方向和重吸收的量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。</w:t>
            </w:r>
          </w:p>
          <w:p w14:paraId="78BB089A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BEDFC8C">
            <w:pPr>
              <w:spacing w:line="360" w:lineRule="auto"/>
              <w:ind w:firstLine="0" w:firstLine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运用所学知识分析尿液化验单，进行判断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。</w:t>
            </w:r>
          </w:p>
          <w:p w14:paraId="5F02301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 w14:paraId="0C358A6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</w:p>
          <w:p w14:paraId="4B48A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回忆、思考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】</w:t>
            </w:r>
          </w:p>
        </w:tc>
      </w:tr>
      <w:tr w14:paraId="2A4C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2F038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课堂小结</w:t>
            </w:r>
          </w:p>
        </w:tc>
        <w:tc>
          <w:tcPr>
            <w:tcW w:w="5152" w:type="dxa"/>
          </w:tcPr>
          <w:p w14:paraId="2C7DEC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尿液的形成过程：肾小球的滤过作用形成原尿；肾小管的重吸收作用形成尿液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3194" w:type="dxa"/>
          </w:tcPr>
          <w:p w14:paraId="25E3AC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</w:tbl>
    <w:p w14:paraId="1F0B19AF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540B662B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firstLine="3600" w:firstLineChars="1500"/>
        <w:jc w:val="both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第2节  尿的形成与排出</w:t>
      </w:r>
    </w:p>
    <w:p w14:paraId="4C5DEC7F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 xml:space="preserve"> 第2课时  尿的形成与排出</w:t>
      </w:r>
    </w:p>
    <w:p w14:paraId="4BD978EB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eastAsia="黑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eastAsia="黑体" w:cs="Times New Roman"/>
          <w:kern w:val="2"/>
          <w:sz w:val="24"/>
          <w:szCs w:val="24"/>
          <w:lang w:val="en-US" w:eastAsia="zh-CN" w:bidi="ar-SA"/>
        </w:rPr>
        <w:t>尿液的形成</w:t>
      </w:r>
    </w:p>
    <w:p w14:paraId="79D31294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eastAsia="黑体" w:cs="Times New Roman"/>
          <w:kern w:val="2"/>
          <w:sz w:val="24"/>
          <w:szCs w:val="24"/>
          <w:lang w:val="en-US" w:eastAsia="zh-CN" w:bidi="ar-SA"/>
        </w:rPr>
      </w:pPr>
      <w:r>
        <w:drawing>
          <wp:inline distT="0" distB="0" distL="114300" distR="114300">
            <wp:extent cx="4838700" cy="118110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2E616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default" w:ascii="Times New Roman" w:hAnsi="Times New Roman" w:eastAsia="黑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24"/>
          <w:szCs w:val="24"/>
          <w:lang w:val="en-US" w:eastAsia="zh-CN" w:bidi="ar-SA"/>
        </w:rPr>
        <w:t>2.尿液的排出</w:t>
      </w:r>
    </w:p>
    <w:p w14:paraId="2CD8E521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肾单位产生的尿液一肾盂一输尿管-膀胱-尿道排出</w:t>
      </w:r>
    </w:p>
    <w:p w14:paraId="2C21048C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="Times New Roman" w:hAnsi="Times New Roman" w:eastAsia="黑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24"/>
          <w:szCs w:val="24"/>
          <w:lang w:val="en-US" w:eastAsia="zh-CN" w:bidi="ar-SA"/>
        </w:rPr>
        <w:t>3.泌尿系统的健康</w:t>
      </w:r>
    </w:p>
    <w:p w14:paraId="476FEB10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textAlignment w:val="auto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hAnsi="宋体" w:cs="宋体"/>
          <w:sz w:val="21"/>
          <w:szCs w:val="21"/>
          <w:lang w:val="en-US" w:eastAsia="zh-CN"/>
        </w:rPr>
        <w:t>（1）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尿液的形成是连续的，尿液的排出是间歇的。</w:t>
      </w:r>
    </w:p>
    <w:p w14:paraId="2749AFFF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textAlignment w:val="auto"/>
        <w:rPr>
          <w:rFonts w:hint="default" w:hAnsi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hAnsi="宋体" w:cs="宋体"/>
          <w:sz w:val="21"/>
          <w:szCs w:val="21"/>
          <w:lang w:val="en-US" w:eastAsia="zh-CN"/>
        </w:rPr>
        <w:t>（2）</w:t>
      </w:r>
      <w:r>
        <w:rPr>
          <w:rFonts w:hint="eastAsia" w:ascii="宋体" w:hAnsi="宋体" w:cs="宋体"/>
          <w:sz w:val="21"/>
          <w:szCs w:val="21"/>
          <w:lang w:val="en-US" w:eastAsia="zh-CN"/>
        </w:rPr>
        <w:t>适量饮水和适时排尿有利健康</w:t>
      </w:r>
    </w:p>
    <w:p w14:paraId="53D63C14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7BF4E0F4">
      <w:pPr>
        <w:spacing w:line="360" w:lineRule="auto"/>
        <w:ind w:firstLine="48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导入新课时运用生活中的案例，从学生的实际出发，激发了学生的学习兴趣，在课程学习的过程中解决课前提出的问题，学生也拥有了学以致用的成就感。在模型认识肾单位结构的基础上，通过师生共同推测尿液在肾单位中的形成过程，完成“尿的形成示意图”的绘制，在此过程中结合资料分析，理解“肾小球滤过作用”和“肾小管重吸收作用”，区分血液、原尿和尿液的成分，成功突破本课时的教学难点。</w:t>
      </w:r>
    </w:p>
    <w:p w14:paraId="5BFE883A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eastAsia"/>
          <w:b/>
          <w:bCs/>
          <w:sz w:val="30"/>
          <w:szCs w:val="30"/>
        </w:rPr>
      </w:pPr>
    </w:p>
    <w:p w14:paraId="0C13D045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/>
          <w:sz w:val="28"/>
          <w:szCs w:val="28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EB63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59E18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AEC2C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2YTA0MTBkZGNjZDBmNzg1YjlkMDhlMmJhMjdkZmU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0CDE50D7"/>
    <w:rsid w:val="12E1651D"/>
    <w:rsid w:val="15DA0279"/>
    <w:rsid w:val="1F1B42AF"/>
    <w:rsid w:val="24AC27CE"/>
    <w:rsid w:val="348454B4"/>
    <w:rsid w:val="352F30A9"/>
    <w:rsid w:val="3F570BFC"/>
    <w:rsid w:val="477E61A4"/>
    <w:rsid w:val="50C03AEB"/>
    <w:rsid w:val="54A0121D"/>
    <w:rsid w:val="568D0913"/>
    <w:rsid w:val="570B7F3D"/>
    <w:rsid w:val="602464FD"/>
    <w:rsid w:val="62243EDD"/>
    <w:rsid w:val="6B9876E6"/>
    <w:rsid w:val="749C0257"/>
    <w:rsid w:val="755F2604"/>
    <w:rsid w:val="773B78AF"/>
    <w:rsid w:val="7E230502"/>
    <w:rsid w:val="7EC1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List Paragraph"/>
    <w:basedOn w:val="1"/>
    <w:qFormat/>
    <w:uiPriority w:val="0"/>
    <w:pPr>
      <w:ind w:firstLine="420" w:firstLineChars="200"/>
    </w:pPr>
  </w:style>
  <w:style w:type="character" w:customStyle="1" w:styleId="11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2342</Words>
  <Characters>2391</Characters>
  <Lines>24</Lines>
  <Paragraphs>6</Paragraphs>
  <TotalTime>0</TotalTime>
  <ScaleCrop>false</ScaleCrop>
  <LinksUpToDate>false</LinksUpToDate>
  <CharactersWithSpaces>2412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慢慢来</cp:lastModifiedBy>
  <cp:lastPrinted>2113-01-01T00:00:00Z</cp:lastPrinted>
  <dcterms:modified xsi:type="dcterms:W3CDTF">2025-01-21T00:49:33Z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2052-12.1.0.19770</vt:lpwstr>
  </property>
  <property fmtid="{D5CDD505-2E9C-101B-9397-08002B2CF9AE}" pid="7" name="ICV">
    <vt:lpwstr>CE26AFB590E04E259A56C7180D8532F9_13</vt:lpwstr>
  </property>
  <property fmtid="{D5CDD505-2E9C-101B-9397-08002B2CF9AE}" pid="8" name="KSOTemplateDocerSaveRecord">
    <vt:lpwstr>eyJoZGlkIjoiN2YxOGMyNDFkMTQxMWJhZTVlZDhiNDQyZGU2OTYwOWEiLCJ1c2VySWQiOiIzMzEzMTIwMjAifQ==</vt:lpwstr>
  </property>
</Properties>
</file>